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C9" w:rsidRDefault="00051DC9" w:rsidP="00676925">
      <w:pPr>
        <w:shd w:val="clear" w:color="auto" w:fill="FFFFFF"/>
        <w:spacing w:after="0" w:line="420" w:lineRule="atLeast"/>
        <w:jc w:val="center"/>
        <w:outlineLvl w:val="1"/>
        <w:rPr>
          <w:rFonts w:ascii="Arial" w:eastAsia="Times New Roman" w:hAnsi="Arial" w:cs="Arial"/>
          <w:b/>
          <w:u w:val="single"/>
        </w:rPr>
      </w:pPr>
      <w:r w:rsidRPr="00B06620">
        <w:rPr>
          <w:rFonts w:ascii="Arial" w:eastAsia="Times New Roman" w:hAnsi="Arial" w:cs="Arial"/>
          <w:b/>
          <w:u w:val="single"/>
        </w:rPr>
        <w:t>Interest rate policy and gradation of risks</w:t>
      </w:r>
    </w:p>
    <w:p w:rsidR="00CF3C80" w:rsidRPr="00B06620" w:rsidRDefault="00CF3C80" w:rsidP="00051DC9">
      <w:pPr>
        <w:shd w:val="clear" w:color="auto" w:fill="FFFFFF"/>
        <w:spacing w:after="0" w:line="420" w:lineRule="atLeast"/>
        <w:outlineLvl w:val="1"/>
        <w:rPr>
          <w:rFonts w:ascii="Arial" w:eastAsia="Times New Roman" w:hAnsi="Arial" w:cs="Arial"/>
          <w:b/>
          <w:u w:val="single"/>
        </w:rPr>
      </w:pPr>
    </w:p>
    <w:p w:rsidR="0089182A" w:rsidRPr="00B06620" w:rsidRDefault="0089182A" w:rsidP="00051DC9">
      <w:pPr>
        <w:shd w:val="clear" w:color="auto" w:fill="FFFFFF"/>
        <w:spacing w:after="0" w:line="420" w:lineRule="atLeast"/>
        <w:outlineLvl w:val="1"/>
        <w:rPr>
          <w:rFonts w:ascii="Arial" w:eastAsia="Times New Roman" w:hAnsi="Arial" w:cs="Arial"/>
        </w:rPr>
      </w:pPr>
    </w:p>
    <w:p w:rsidR="00CF3C80" w:rsidRDefault="00051DC9" w:rsidP="00051DC9">
      <w:pPr>
        <w:shd w:val="clear" w:color="auto" w:fill="FFFFFF"/>
        <w:spacing w:after="0" w:line="330" w:lineRule="atLeast"/>
        <w:jc w:val="both"/>
        <w:rPr>
          <w:rFonts w:ascii="Arial" w:eastAsia="Times New Roman" w:hAnsi="Arial" w:cs="Arial"/>
          <w:b/>
          <w:bCs/>
        </w:rPr>
      </w:pPr>
      <w:r w:rsidRPr="00B06620">
        <w:rPr>
          <w:rFonts w:ascii="Arial" w:eastAsia="Times New Roman" w:hAnsi="Arial" w:cs="Arial"/>
          <w:b/>
          <w:bCs/>
        </w:rPr>
        <w:t>(I)</w:t>
      </w:r>
      <w:r w:rsidR="0089182A" w:rsidRPr="00B06620">
        <w:rPr>
          <w:rFonts w:ascii="Arial" w:eastAsia="Times New Roman" w:hAnsi="Arial" w:cs="Arial"/>
          <w:b/>
          <w:bCs/>
        </w:rPr>
        <w:t xml:space="preserve"> </w:t>
      </w:r>
      <w:r w:rsidRPr="00B06620">
        <w:rPr>
          <w:rFonts w:ascii="Arial" w:eastAsia="Times New Roman" w:hAnsi="Arial" w:cs="Arial"/>
          <w:b/>
          <w:bCs/>
        </w:rPr>
        <w:t>Preface</w:t>
      </w:r>
    </w:p>
    <w:p w:rsidR="00CF3C80" w:rsidRPr="00B06620" w:rsidRDefault="00CF3C80" w:rsidP="00051DC9">
      <w:pPr>
        <w:shd w:val="clear" w:color="auto" w:fill="FFFFFF"/>
        <w:spacing w:after="0" w:line="330" w:lineRule="atLeast"/>
        <w:jc w:val="both"/>
        <w:rPr>
          <w:rFonts w:ascii="Arial" w:eastAsia="Times New Roman" w:hAnsi="Arial" w:cs="Arial"/>
          <w:b/>
          <w:bCs/>
        </w:rPr>
      </w:pPr>
    </w:p>
    <w:p w:rsidR="00051DC9" w:rsidRPr="00B06620" w:rsidRDefault="00051DC9" w:rsidP="00051DC9">
      <w:pPr>
        <w:shd w:val="clear" w:color="auto" w:fill="FFFFFF"/>
        <w:spacing w:after="0" w:line="330" w:lineRule="atLeast"/>
        <w:jc w:val="both"/>
        <w:rPr>
          <w:rFonts w:ascii="Arial" w:eastAsia="Times New Roman" w:hAnsi="Arial" w:cs="Arial"/>
        </w:rPr>
      </w:pPr>
      <w:r w:rsidRPr="00B06620">
        <w:rPr>
          <w:rFonts w:ascii="Arial" w:eastAsia="Times New Roman" w:hAnsi="Arial" w:cs="Arial"/>
        </w:rPr>
        <w:t>Reserve Bank of India (RBI) vide its Circular DNBS / PD / CC No. 95/ 03.05.002/ 2006-07 dated May 24, 2007 advised Non Banking Finance Companies (NBFC's) lay out appropriate internal principles and procedures in determining interest rates, processing and other charges. This was reiterated vide RBI's circular</w:t>
      </w:r>
      <w:r w:rsidR="002A2CF6" w:rsidRPr="00B06620">
        <w:rPr>
          <w:rFonts w:ascii="Arial" w:eastAsia="Times New Roman" w:hAnsi="Arial" w:cs="Arial"/>
        </w:rPr>
        <w:t xml:space="preserve"> </w:t>
      </w:r>
      <w:r w:rsidRPr="00B06620">
        <w:rPr>
          <w:rFonts w:ascii="Arial" w:eastAsia="Times New Roman" w:hAnsi="Arial" w:cs="Arial"/>
        </w:rPr>
        <w:t>DNBS (PD) C.C. No. 133 / 03.10.001/ 2008-09 January 2, 2009 and DNBS.CC.PD.No.320/03.10.01/2012-13 dated February 18, 2013.</w:t>
      </w:r>
    </w:p>
    <w:p w:rsidR="0089182A" w:rsidRPr="00B06620" w:rsidRDefault="0089182A" w:rsidP="00051DC9">
      <w:pPr>
        <w:shd w:val="clear" w:color="auto" w:fill="FFFFFF"/>
        <w:spacing w:after="0" w:line="330" w:lineRule="atLeast"/>
        <w:jc w:val="both"/>
        <w:rPr>
          <w:rFonts w:ascii="Arial" w:eastAsia="Times New Roman" w:hAnsi="Arial" w:cs="Arial"/>
        </w:rPr>
      </w:pPr>
    </w:p>
    <w:p w:rsidR="00051DC9" w:rsidRPr="00B06620" w:rsidRDefault="00051DC9" w:rsidP="00051DC9">
      <w:pPr>
        <w:shd w:val="clear" w:color="auto" w:fill="FFFFFF"/>
        <w:spacing w:after="0" w:line="330" w:lineRule="atLeast"/>
        <w:jc w:val="both"/>
        <w:rPr>
          <w:rFonts w:ascii="Arial" w:eastAsia="Times New Roman" w:hAnsi="Arial" w:cs="Arial"/>
        </w:rPr>
      </w:pPr>
      <w:r w:rsidRPr="00B06620">
        <w:rPr>
          <w:rFonts w:ascii="Arial" w:eastAsia="Times New Roman" w:hAnsi="Arial" w:cs="Arial"/>
        </w:rPr>
        <w:t>Keeping in view the RBI's guidelines as cited above, and the good governance practices, the following internal guidelines, policies, procedures and interest rate policy have been adopted by the Company for its lending business.</w:t>
      </w:r>
    </w:p>
    <w:p w:rsidR="0089182A" w:rsidRPr="00B06620" w:rsidRDefault="0089182A" w:rsidP="00051DC9">
      <w:pPr>
        <w:shd w:val="clear" w:color="auto" w:fill="FFFFFF"/>
        <w:spacing w:after="0" w:line="330" w:lineRule="atLeast"/>
        <w:jc w:val="both"/>
        <w:rPr>
          <w:rFonts w:ascii="Arial" w:eastAsia="Times New Roman" w:hAnsi="Arial" w:cs="Arial"/>
        </w:rPr>
      </w:pPr>
    </w:p>
    <w:p w:rsidR="00051DC9" w:rsidRPr="00B06620" w:rsidRDefault="00051DC9" w:rsidP="00051DC9">
      <w:pPr>
        <w:shd w:val="clear" w:color="auto" w:fill="FFFFFF"/>
        <w:spacing w:after="0" w:line="330" w:lineRule="atLeast"/>
        <w:jc w:val="both"/>
        <w:rPr>
          <w:rFonts w:ascii="Arial" w:eastAsia="Times New Roman" w:hAnsi="Arial" w:cs="Arial"/>
          <w:b/>
          <w:bCs/>
        </w:rPr>
      </w:pPr>
      <w:r w:rsidRPr="00B06620">
        <w:rPr>
          <w:rFonts w:ascii="Arial" w:eastAsia="Times New Roman" w:hAnsi="Arial" w:cs="Arial"/>
          <w:b/>
          <w:bCs/>
        </w:rPr>
        <w:t>(II) Methodology</w:t>
      </w:r>
    </w:p>
    <w:p w:rsidR="00A96401" w:rsidRPr="00B06620" w:rsidRDefault="00A96401" w:rsidP="00051DC9">
      <w:pPr>
        <w:shd w:val="clear" w:color="auto" w:fill="FFFFFF"/>
        <w:spacing w:after="0" w:line="330" w:lineRule="atLeast"/>
        <w:jc w:val="both"/>
        <w:rPr>
          <w:rFonts w:ascii="Arial" w:eastAsia="Times New Roman" w:hAnsi="Arial" w:cs="Arial"/>
          <w:b/>
          <w:bCs/>
        </w:rPr>
      </w:pPr>
    </w:p>
    <w:p w:rsidR="00051DC9" w:rsidRPr="00B06620" w:rsidRDefault="005C477A" w:rsidP="00701125">
      <w:pPr>
        <w:shd w:val="clear" w:color="auto" w:fill="FFFFFF"/>
        <w:spacing w:after="0" w:line="330" w:lineRule="atLeast"/>
        <w:ind w:left="270" w:hanging="270"/>
        <w:jc w:val="both"/>
        <w:rPr>
          <w:rFonts w:ascii="Arial" w:eastAsia="Times New Roman" w:hAnsi="Arial" w:cs="Arial"/>
        </w:rPr>
      </w:pPr>
      <w:r w:rsidRPr="00B06620">
        <w:rPr>
          <w:rFonts w:ascii="Arial" w:eastAsia="Times New Roman" w:hAnsi="Arial" w:cs="Arial"/>
        </w:rPr>
        <w:t>1</w:t>
      </w:r>
      <w:r w:rsidR="00051DC9" w:rsidRPr="00B06620">
        <w:rPr>
          <w:rFonts w:ascii="Arial" w:eastAsia="Times New Roman" w:hAnsi="Arial" w:cs="Arial"/>
        </w:rPr>
        <w:t>.</w:t>
      </w:r>
      <w:r w:rsidR="00474B49" w:rsidRPr="00B06620">
        <w:rPr>
          <w:rFonts w:ascii="Arial" w:eastAsia="Times New Roman" w:hAnsi="Arial" w:cs="Arial"/>
        </w:rPr>
        <w:t xml:space="preserve"> </w:t>
      </w:r>
      <w:r w:rsidR="00051DC9" w:rsidRPr="00B06620">
        <w:rPr>
          <w:rFonts w:ascii="Arial" w:eastAsia="Times New Roman" w:hAnsi="Arial" w:cs="Arial"/>
        </w:rPr>
        <w:t>The base interest rate will be arrived at based on the weighted average cost of funds, risk premium, other costs such as administrative expenses and profit margin.</w:t>
      </w:r>
    </w:p>
    <w:p w:rsidR="008B6176" w:rsidRPr="00B06620" w:rsidRDefault="008B6176" w:rsidP="00051DC9">
      <w:pPr>
        <w:shd w:val="clear" w:color="auto" w:fill="FFFFFF"/>
        <w:spacing w:after="0" w:line="330" w:lineRule="atLeast"/>
        <w:jc w:val="both"/>
        <w:rPr>
          <w:rFonts w:ascii="Arial" w:eastAsia="Times New Roman" w:hAnsi="Arial" w:cs="Arial"/>
        </w:rPr>
      </w:pPr>
    </w:p>
    <w:p w:rsidR="00811F62" w:rsidRPr="00B06620" w:rsidRDefault="00051DC9" w:rsidP="0056382A">
      <w:pPr>
        <w:shd w:val="clear" w:color="auto" w:fill="FFFFFF"/>
        <w:spacing w:after="0" w:line="330" w:lineRule="atLeast"/>
        <w:ind w:left="270" w:hanging="270"/>
        <w:jc w:val="both"/>
        <w:rPr>
          <w:rFonts w:ascii="Arial" w:eastAsia="Times New Roman" w:hAnsi="Arial" w:cs="Arial"/>
        </w:rPr>
      </w:pPr>
      <w:r w:rsidRPr="00B06620">
        <w:rPr>
          <w:rFonts w:ascii="Arial" w:eastAsia="Times New Roman" w:hAnsi="Arial" w:cs="Arial"/>
        </w:rPr>
        <w:t>2.</w:t>
      </w:r>
      <w:r w:rsidR="00580486" w:rsidRPr="00B06620">
        <w:rPr>
          <w:rFonts w:ascii="Arial" w:eastAsia="Times New Roman" w:hAnsi="Arial" w:cs="Arial"/>
        </w:rPr>
        <w:t xml:space="preserve"> </w:t>
      </w:r>
      <w:r w:rsidRPr="00B06620">
        <w:rPr>
          <w:rFonts w:ascii="Arial" w:eastAsia="Times New Roman" w:hAnsi="Arial" w:cs="Arial"/>
        </w:rPr>
        <w:t>The base interest rate applicable to each loan account will be assessed based on multiple parameters like:</w:t>
      </w:r>
    </w:p>
    <w:p w:rsidR="0027625F" w:rsidRPr="00B06620" w:rsidRDefault="00811F62" w:rsidP="00051DC9">
      <w:pPr>
        <w:shd w:val="clear" w:color="auto" w:fill="FFFFFF"/>
        <w:spacing w:after="0" w:line="330" w:lineRule="atLeast"/>
        <w:jc w:val="both"/>
        <w:rPr>
          <w:rFonts w:ascii="Arial" w:eastAsia="Times New Roman" w:hAnsi="Arial" w:cs="Arial"/>
        </w:rPr>
      </w:pPr>
      <w:r w:rsidRPr="00B06620">
        <w:rPr>
          <w:rFonts w:ascii="Arial" w:eastAsia="Times New Roman" w:hAnsi="Arial" w:cs="Arial"/>
        </w:rPr>
        <w:t>a)</w:t>
      </w:r>
      <w:r w:rsidR="0027625F" w:rsidRPr="00B06620">
        <w:rPr>
          <w:rFonts w:ascii="Arial" w:eastAsia="Times New Roman" w:hAnsi="Arial" w:cs="Arial"/>
        </w:rPr>
        <w:t xml:space="preserve"> </w:t>
      </w:r>
      <w:r w:rsidRPr="00B06620">
        <w:rPr>
          <w:rFonts w:ascii="Arial" w:eastAsia="Times New Roman" w:hAnsi="Arial" w:cs="Arial"/>
        </w:rPr>
        <w:t>Nature of lending, for example unsecured/secured, and tenure;</w:t>
      </w:r>
    </w:p>
    <w:p w:rsidR="00811F62" w:rsidRPr="00B06620" w:rsidRDefault="00811F62" w:rsidP="00051DC9">
      <w:pPr>
        <w:shd w:val="clear" w:color="auto" w:fill="FFFFFF"/>
        <w:spacing w:after="0" w:line="330" w:lineRule="atLeast"/>
        <w:jc w:val="both"/>
        <w:rPr>
          <w:rFonts w:ascii="Arial" w:eastAsia="Times New Roman" w:hAnsi="Arial" w:cs="Arial"/>
        </w:rPr>
      </w:pPr>
      <w:r w:rsidRPr="00B06620">
        <w:rPr>
          <w:rFonts w:ascii="Arial" w:eastAsia="Times New Roman" w:hAnsi="Arial" w:cs="Arial"/>
        </w:rPr>
        <w:t>b)</w:t>
      </w:r>
      <w:r w:rsidR="0027625F" w:rsidRPr="00B06620">
        <w:rPr>
          <w:rFonts w:ascii="Arial" w:eastAsia="Times New Roman" w:hAnsi="Arial" w:cs="Arial"/>
        </w:rPr>
        <w:t xml:space="preserve"> </w:t>
      </w:r>
      <w:r w:rsidRPr="00B06620">
        <w:rPr>
          <w:rFonts w:ascii="Arial" w:eastAsia="Times New Roman" w:hAnsi="Arial" w:cs="Arial"/>
        </w:rPr>
        <w:t>Nature and value of securities and collateral offered by customers;</w:t>
      </w:r>
    </w:p>
    <w:p w:rsidR="00811F62" w:rsidRPr="00B06620" w:rsidRDefault="00811F62" w:rsidP="0027625F">
      <w:pPr>
        <w:shd w:val="clear" w:color="auto" w:fill="FFFFFF"/>
        <w:spacing w:after="0" w:line="330" w:lineRule="atLeast"/>
        <w:ind w:left="180" w:hanging="180"/>
        <w:jc w:val="both"/>
        <w:rPr>
          <w:rFonts w:ascii="Arial" w:eastAsia="Times New Roman" w:hAnsi="Arial" w:cs="Arial"/>
        </w:rPr>
      </w:pPr>
      <w:r w:rsidRPr="00B06620">
        <w:rPr>
          <w:rFonts w:ascii="Arial" w:eastAsia="Times New Roman" w:hAnsi="Arial" w:cs="Arial"/>
        </w:rPr>
        <w:t>c)</w:t>
      </w:r>
      <w:r w:rsidR="0027625F" w:rsidRPr="00B06620">
        <w:rPr>
          <w:rFonts w:ascii="Arial" w:eastAsia="Times New Roman" w:hAnsi="Arial" w:cs="Arial"/>
        </w:rPr>
        <w:t xml:space="preserve"> </w:t>
      </w:r>
      <w:r w:rsidRPr="00B06620">
        <w:rPr>
          <w:rFonts w:ascii="Arial" w:eastAsia="Times New Roman" w:hAnsi="Arial" w:cs="Arial"/>
        </w:rPr>
        <w:t>Risk profile of customer - professional qualification, stability in earnings and employment, financial positions, past repayment track record, external ratings of customers, credit reports, customer relationship, future business potential etc;</w:t>
      </w:r>
    </w:p>
    <w:p w:rsidR="0027625F" w:rsidRPr="00B06620" w:rsidRDefault="0027625F" w:rsidP="0027625F">
      <w:pPr>
        <w:shd w:val="clear" w:color="auto" w:fill="FFFFFF"/>
        <w:spacing w:after="0" w:line="330" w:lineRule="atLeast"/>
        <w:ind w:left="180" w:hanging="180"/>
        <w:jc w:val="both"/>
        <w:rPr>
          <w:rFonts w:ascii="Arial" w:eastAsia="Times New Roman" w:hAnsi="Arial" w:cs="Arial"/>
        </w:rPr>
      </w:pPr>
      <w:r w:rsidRPr="00B06620">
        <w:rPr>
          <w:rFonts w:ascii="Arial" w:eastAsia="Times New Roman" w:hAnsi="Arial" w:cs="Arial"/>
        </w:rPr>
        <w:t>d) Inherent credit and default risk in our business, particularly trends with sub-groups / customer segments of the loan portfolio;</w:t>
      </w:r>
    </w:p>
    <w:p w:rsidR="006B4AA8" w:rsidRPr="00B06620" w:rsidRDefault="006B4AA8" w:rsidP="00051DC9">
      <w:pPr>
        <w:shd w:val="clear" w:color="auto" w:fill="FFFFFF"/>
        <w:spacing w:after="0" w:line="330" w:lineRule="atLeast"/>
        <w:jc w:val="both"/>
        <w:rPr>
          <w:rFonts w:ascii="Arial" w:eastAsia="Times New Roman" w:hAnsi="Arial" w:cs="Arial"/>
        </w:rPr>
      </w:pPr>
    </w:p>
    <w:p w:rsidR="00051DC9" w:rsidRPr="00B06620" w:rsidRDefault="00051DC9" w:rsidP="00051DC9">
      <w:pPr>
        <w:shd w:val="clear" w:color="auto" w:fill="FFFFFF"/>
        <w:spacing w:after="0" w:line="330" w:lineRule="atLeast"/>
        <w:jc w:val="both"/>
        <w:rPr>
          <w:rFonts w:ascii="Arial" w:eastAsia="Times New Roman" w:hAnsi="Arial" w:cs="Arial"/>
        </w:rPr>
      </w:pPr>
      <w:r w:rsidRPr="00B06620">
        <w:rPr>
          <w:rFonts w:ascii="Arial" w:eastAsia="Times New Roman" w:hAnsi="Arial" w:cs="Arial"/>
        </w:rPr>
        <w:t>3.</w:t>
      </w:r>
      <w:r w:rsidR="005C477A" w:rsidRPr="00B06620">
        <w:rPr>
          <w:rFonts w:ascii="Arial" w:eastAsia="Times New Roman" w:hAnsi="Arial" w:cs="Arial"/>
        </w:rPr>
        <w:t xml:space="preserve"> </w:t>
      </w:r>
      <w:r w:rsidRPr="00B06620">
        <w:rPr>
          <w:rFonts w:ascii="Arial" w:eastAsia="Times New Roman" w:hAnsi="Arial" w:cs="Arial"/>
        </w:rPr>
        <w:t xml:space="preserve">The base interest rate is reviewed periodically by the </w:t>
      </w:r>
      <w:r w:rsidR="00C661C3">
        <w:rPr>
          <w:rFonts w:ascii="Arial" w:eastAsia="Times New Roman" w:hAnsi="Arial" w:cs="Arial"/>
        </w:rPr>
        <w:t>Board</w:t>
      </w:r>
      <w:r w:rsidRPr="00B06620">
        <w:rPr>
          <w:rFonts w:ascii="Arial" w:eastAsia="Times New Roman" w:hAnsi="Arial" w:cs="Arial"/>
        </w:rPr>
        <w:t>.</w:t>
      </w:r>
    </w:p>
    <w:p w:rsidR="002A2CF6" w:rsidRPr="00B06620" w:rsidRDefault="002A2CF6" w:rsidP="00051DC9">
      <w:pPr>
        <w:shd w:val="clear" w:color="auto" w:fill="FFFFFF"/>
        <w:spacing w:after="0" w:line="330" w:lineRule="atLeast"/>
        <w:jc w:val="both"/>
        <w:rPr>
          <w:rFonts w:ascii="Arial" w:eastAsia="Times New Roman" w:hAnsi="Arial" w:cs="Arial"/>
        </w:rPr>
      </w:pPr>
    </w:p>
    <w:p w:rsidR="00051DC9" w:rsidRPr="00B06620" w:rsidRDefault="00051DC9" w:rsidP="00E803A4">
      <w:pPr>
        <w:shd w:val="clear" w:color="auto" w:fill="FFFFFF"/>
        <w:spacing w:after="0" w:line="330" w:lineRule="atLeast"/>
        <w:ind w:left="270" w:hanging="270"/>
        <w:jc w:val="both"/>
        <w:rPr>
          <w:rFonts w:ascii="Arial" w:eastAsia="Times New Roman" w:hAnsi="Arial" w:cs="Arial"/>
        </w:rPr>
      </w:pPr>
      <w:r w:rsidRPr="00B06620">
        <w:rPr>
          <w:rFonts w:ascii="Arial" w:eastAsia="Times New Roman" w:hAnsi="Arial" w:cs="Arial"/>
        </w:rPr>
        <w:t>4.</w:t>
      </w:r>
      <w:r w:rsidR="002A2CF6" w:rsidRPr="00B06620">
        <w:rPr>
          <w:rFonts w:ascii="Arial" w:eastAsia="Times New Roman" w:hAnsi="Arial" w:cs="Arial"/>
        </w:rPr>
        <w:t xml:space="preserve"> </w:t>
      </w:r>
      <w:r w:rsidRPr="00B06620">
        <w:rPr>
          <w:rFonts w:ascii="Arial" w:eastAsia="Times New Roman" w:hAnsi="Arial" w:cs="Arial"/>
        </w:rPr>
        <w:t>The rates of interest for the same product and tenor availed during same period by different customers need not be standardized but could be different for different customers depending upon consideration of any or combination of a few or all factors listed above.</w:t>
      </w:r>
    </w:p>
    <w:p w:rsidR="002A2CF6" w:rsidRPr="00B06620" w:rsidRDefault="002A2CF6" w:rsidP="00051DC9">
      <w:pPr>
        <w:shd w:val="clear" w:color="auto" w:fill="FFFFFF"/>
        <w:spacing w:after="0" w:line="330" w:lineRule="atLeast"/>
        <w:jc w:val="both"/>
        <w:rPr>
          <w:rFonts w:ascii="Arial" w:eastAsia="Times New Roman" w:hAnsi="Arial" w:cs="Arial"/>
        </w:rPr>
      </w:pPr>
    </w:p>
    <w:p w:rsidR="00051DC9" w:rsidRPr="00B06620" w:rsidRDefault="00051DC9" w:rsidP="00E803A4">
      <w:pPr>
        <w:shd w:val="clear" w:color="auto" w:fill="FFFFFF"/>
        <w:spacing w:after="0" w:line="330" w:lineRule="atLeast"/>
        <w:ind w:left="270" w:hanging="270"/>
        <w:jc w:val="both"/>
        <w:rPr>
          <w:rFonts w:ascii="Arial" w:eastAsia="Times New Roman" w:hAnsi="Arial" w:cs="Arial"/>
        </w:rPr>
      </w:pPr>
      <w:r w:rsidRPr="00B06620">
        <w:rPr>
          <w:rFonts w:ascii="Arial" w:eastAsia="Times New Roman" w:hAnsi="Arial" w:cs="Arial"/>
        </w:rPr>
        <w:t>5.</w:t>
      </w:r>
      <w:r w:rsidR="002A2CF6" w:rsidRPr="00B06620">
        <w:rPr>
          <w:rFonts w:ascii="Arial" w:eastAsia="Times New Roman" w:hAnsi="Arial" w:cs="Arial"/>
        </w:rPr>
        <w:t xml:space="preserve"> </w:t>
      </w:r>
      <w:r w:rsidRPr="00B06620">
        <w:rPr>
          <w:rFonts w:ascii="Arial" w:eastAsia="Times New Roman" w:hAnsi="Arial" w:cs="Arial"/>
        </w:rPr>
        <w:t>The Company shall in</w:t>
      </w:r>
      <w:r w:rsidR="00010A51">
        <w:rPr>
          <w:rFonts w:ascii="Arial" w:eastAsia="Times New Roman" w:hAnsi="Arial" w:cs="Arial"/>
        </w:rPr>
        <w:t>timate the borrower loan amount and</w:t>
      </w:r>
      <w:r w:rsidRPr="00B06620">
        <w:rPr>
          <w:rFonts w:ascii="Arial" w:eastAsia="Times New Roman" w:hAnsi="Arial" w:cs="Arial"/>
        </w:rPr>
        <w:t xml:space="preserve"> rate of interest at the time of sanction of the loan along with the tenure and amount of monthly installment.</w:t>
      </w:r>
    </w:p>
    <w:p w:rsidR="00947C6A" w:rsidRPr="00B06620" w:rsidRDefault="00947C6A" w:rsidP="00051DC9">
      <w:pPr>
        <w:shd w:val="clear" w:color="auto" w:fill="FFFFFF"/>
        <w:spacing w:after="0" w:line="330" w:lineRule="atLeast"/>
        <w:jc w:val="both"/>
        <w:rPr>
          <w:rFonts w:ascii="Arial" w:eastAsia="Times New Roman" w:hAnsi="Arial" w:cs="Arial"/>
        </w:rPr>
      </w:pPr>
    </w:p>
    <w:p w:rsidR="00051DC9" w:rsidRPr="00B06620" w:rsidRDefault="00051DC9" w:rsidP="00226FB2">
      <w:pPr>
        <w:shd w:val="clear" w:color="auto" w:fill="FFFFFF"/>
        <w:spacing w:after="0" w:line="330" w:lineRule="atLeast"/>
        <w:ind w:left="270" w:hanging="270"/>
        <w:jc w:val="both"/>
        <w:rPr>
          <w:rFonts w:ascii="Arial" w:eastAsia="Times New Roman" w:hAnsi="Arial" w:cs="Arial"/>
        </w:rPr>
      </w:pPr>
      <w:r w:rsidRPr="00B06620">
        <w:rPr>
          <w:rFonts w:ascii="Arial" w:eastAsia="Times New Roman" w:hAnsi="Arial" w:cs="Arial"/>
        </w:rPr>
        <w:t>6.</w:t>
      </w:r>
      <w:r w:rsidR="002A2CF6" w:rsidRPr="00B06620">
        <w:rPr>
          <w:rFonts w:ascii="Arial" w:eastAsia="Times New Roman" w:hAnsi="Arial" w:cs="Arial"/>
        </w:rPr>
        <w:t xml:space="preserve"> </w:t>
      </w:r>
      <w:r w:rsidRPr="00B06620">
        <w:rPr>
          <w:rFonts w:ascii="Arial" w:eastAsia="Times New Roman" w:hAnsi="Arial" w:cs="Arial"/>
        </w:rPr>
        <w:t>The other charges such as processing fees, additional interest charged on delayed payments and cheque bouncing charges shall be mentioned in the sanction letter/loan agreement.</w:t>
      </w:r>
    </w:p>
    <w:p w:rsidR="00226FB2" w:rsidRPr="00B06620" w:rsidRDefault="00226FB2" w:rsidP="00226FB2">
      <w:pPr>
        <w:shd w:val="clear" w:color="auto" w:fill="FFFFFF"/>
        <w:spacing w:after="0" w:line="330" w:lineRule="atLeast"/>
        <w:ind w:left="270" w:hanging="270"/>
        <w:jc w:val="both"/>
        <w:rPr>
          <w:rFonts w:ascii="Arial" w:eastAsia="Times New Roman" w:hAnsi="Arial" w:cs="Arial"/>
        </w:rPr>
      </w:pPr>
    </w:p>
    <w:p w:rsidR="00051DC9" w:rsidRPr="00B06620" w:rsidRDefault="00051DC9" w:rsidP="00DA2ACB">
      <w:pPr>
        <w:shd w:val="clear" w:color="auto" w:fill="FFFFFF"/>
        <w:spacing w:after="0" w:line="330" w:lineRule="atLeast"/>
        <w:ind w:left="270" w:hanging="270"/>
        <w:jc w:val="both"/>
        <w:rPr>
          <w:rFonts w:ascii="Arial" w:eastAsia="Times New Roman" w:hAnsi="Arial" w:cs="Arial"/>
        </w:rPr>
      </w:pPr>
      <w:r w:rsidRPr="00B06620">
        <w:rPr>
          <w:rFonts w:ascii="Arial" w:eastAsia="Times New Roman" w:hAnsi="Arial" w:cs="Arial"/>
        </w:rPr>
        <w:t>7.</w:t>
      </w:r>
      <w:r w:rsidR="00226FB2" w:rsidRPr="00B06620">
        <w:rPr>
          <w:rFonts w:ascii="Arial" w:eastAsia="Times New Roman" w:hAnsi="Arial" w:cs="Arial"/>
        </w:rPr>
        <w:t xml:space="preserve"> </w:t>
      </w:r>
      <w:r w:rsidRPr="00B06620">
        <w:rPr>
          <w:rFonts w:ascii="Arial" w:eastAsia="Times New Roman" w:hAnsi="Arial" w:cs="Arial"/>
        </w:rPr>
        <w:t>The rates of interest applicable to each loan account is subject to change as the situation warrants and is subject to the Management’s perceived risk on a case to case basis.</w:t>
      </w:r>
    </w:p>
    <w:p w:rsidR="00226FB2" w:rsidRPr="00B06620" w:rsidRDefault="00226FB2" w:rsidP="00051DC9">
      <w:pPr>
        <w:shd w:val="clear" w:color="auto" w:fill="FFFFFF"/>
        <w:spacing w:after="0" w:line="330" w:lineRule="atLeast"/>
        <w:jc w:val="both"/>
        <w:rPr>
          <w:rFonts w:ascii="Arial" w:eastAsia="Times New Roman" w:hAnsi="Arial" w:cs="Arial"/>
        </w:rPr>
      </w:pPr>
    </w:p>
    <w:p w:rsidR="00051DC9" w:rsidRPr="00B06620" w:rsidRDefault="00051DC9" w:rsidP="00523D64">
      <w:pPr>
        <w:shd w:val="clear" w:color="auto" w:fill="FFFFFF"/>
        <w:spacing w:after="0" w:line="330" w:lineRule="atLeast"/>
        <w:ind w:left="270" w:hanging="270"/>
        <w:jc w:val="both"/>
        <w:rPr>
          <w:rFonts w:ascii="Arial" w:eastAsia="Times New Roman" w:hAnsi="Arial" w:cs="Arial"/>
        </w:rPr>
      </w:pPr>
      <w:r w:rsidRPr="00B06620">
        <w:rPr>
          <w:rFonts w:ascii="Arial" w:eastAsia="Times New Roman" w:hAnsi="Arial" w:cs="Arial"/>
        </w:rPr>
        <w:t>8.</w:t>
      </w:r>
      <w:r w:rsidR="00226FB2" w:rsidRPr="00B06620">
        <w:rPr>
          <w:rFonts w:ascii="Arial" w:eastAsia="Times New Roman" w:hAnsi="Arial" w:cs="Arial"/>
        </w:rPr>
        <w:t xml:space="preserve"> </w:t>
      </w:r>
      <w:r w:rsidRPr="00B06620">
        <w:rPr>
          <w:rFonts w:ascii="Arial" w:eastAsia="Times New Roman" w:hAnsi="Arial" w:cs="Arial"/>
        </w:rPr>
        <w:t>Claims for refund or waiver of charges/ penal interest / additional interest would normally not be</w:t>
      </w:r>
      <w:r w:rsidR="00010A51">
        <w:rPr>
          <w:rFonts w:ascii="Arial" w:eastAsia="Times New Roman" w:hAnsi="Arial" w:cs="Arial"/>
        </w:rPr>
        <w:t xml:space="preserve"> entertained by the C</w:t>
      </w:r>
      <w:r w:rsidRPr="00B06620">
        <w:rPr>
          <w:rFonts w:ascii="Arial" w:eastAsia="Times New Roman" w:hAnsi="Arial" w:cs="Arial"/>
        </w:rPr>
        <w:t>ompany and it is</w:t>
      </w:r>
      <w:r w:rsidR="00010A51">
        <w:rPr>
          <w:rFonts w:ascii="Arial" w:eastAsia="Times New Roman" w:hAnsi="Arial" w:cs="Arial"/>
        </w:rPr>
        <w:t xml:space="preserve"> at the sole discretion of the C</w:t>
      </w:r>
      <w:r w:rsidRPr="00B06620">
        <w:rPr>
          <w:rFonts w:ascii="Arial" w:eastAsia="Times New Roman" w:hAnsi="Arial" w:cs="Arial"/>
        </w:rPr>
        <w:t>ompany to deal with such requests if any.</w:t>
      </w:r>
    </w:p>
    <w:p w:rsidR="00226FB2" w:rsidRPr="00B06620" w:rsidRDefault="00226FB2" w:rsidP="00051DC9">
      <w:pPr>
        <w:shd w:val="clear" w:color="auto" w:fill="FFFFFF"/>
        <w:spacing w:after="0" w:line="330" w:lineRule="atLeast"/>
        <w:jc w:val="both"/>
        <w:rPr>
          <w:rFonts w:ascii="Arial" w:eastAsia="Times New Roman" w:hAnsi="Arial" w:cs="Arial"/>
        </w:rPr>
      </w:pPr>
    </w:p>
    <w:p w:rsidR="00051DC9" w:rsidRPr="00B06620" w:rsidRDefault="00051DC9" w:rsidP="00523D64">
      <w:pPr>
        <w:shd w:val="clear" w:color="auto" w:fill="FFFFFF"/>
        <w:spacing w:after="0" w:line="330" w:lineRule="atLeast"/>
        <w:ind w:left="270" w:hanging="270"/>
        <w:jc w:val="both"/>
        <w:rPr>
          <w:rFonts w:ascii="Arial" w:eastAsia="Times New Roman" w:hAnsi="Arial" w:cs="Arial"/>
        </w:rPr>
      </w:pPr>
      <w:r w:rsidRPr="00B06620">
        <w:rPr>
          <w:rFonts w:ascii="Arial" w:eastAsia="Times New Roman" w:hAnsi="Arial" w:cs="Arial"/>
        </w:rPr>
        <w:t>9.</w:t>
      </w:r>
      <w:r w:rsidR="00226FB2" w:rsidRPr="00B06620">
        <w:rPr>
          <w:rFonts w:ascii="Arial" w:eastAsia="Times New Roman" w:hAnsi="Arial" w:cs="Arial"/>
        </w:rPr>
        <w:t xml:space="preserve"> </w:t>
      </w:r>
      <w:r w:rsidRPr="00B06620">
        <w:rPr>
          <w:rFonts w:ascii="Arial" w:eastAsia="Times New Roman" w:hAnsi="Arial" w:cs="Arial"/>
        </w:rPr>
        <w:t>The rate of interest charged to our customers is linked to the base rate w</w:t>
      </w:r>
      <w:r w:rsidR="00523D64" w:rsidRPr="00B06620">
        <w:rPr>
          <w:rFonts w:ascii="Arial" w:eastAsia="Times New Roman" w:hAnsi="Arial" w:cs="Arial"/>
        </w:rPr>
        <w:t xml:space="preserve">hich is determined on the basis </w:t>
      </w:r>
      <w:r w:rsidRPr="00B06620">
        <w:rPr>
          <w:rFonts w:ascii="Arial" w:eastAsia="Times New Roman" w:hAnsi="Arial" w:cs="Arial"/>
        </w:rPr>
        <w:t xml:space="preserve">of </w:t>
      </w:r>
      <w:r w:rsidRPr="00C71952">
        <w:rPr>
          <w:rFonts w:ascii="Arial" w:eastAsia="Times New Roman" w:hAnsi="Arial" w:cs="Arial"/>
        </w:rPr>
        <w:t>weighted average cost of funds, risk premium, other costs such as administrative expenses and profit margin. The mark up over the base rate varies from 200 bps to 1300 bps depending on the risk profile of the customer, available security, client’s reputation/ positioning in the market, past track record, financial standing etc. Accordingly, the present rate of interest charged to our customers is in the range of 13% to 28% p.a. payable monthly.</w:t>
      </w:r>
      <w:bookmarkStart w:id="0" w:name="_GoBack"/>
      <w:bookmarkEnd w:id="0"/>
    </w:p>
    <w:p w:rsidR="0038235B" w:rsidRPr="00B06620" w:rsidRDefault="0038235B">
      <w:pPr>
        <w:rPr>
          <w:rFonts w:ascii="Arial" w:hAnsi="Arial" w:cs="Arial"/>
        </w:rPr>
      </w:pPr>
    </w:p>
    <w:p w:rsidR="00604B2F" w:rsidRPr="00B06620" w:rsidRDefault="00604B2F">
      <w:pPr>
        <w:rPr>
          <w:rFonts w:ascii="Arial" w:hAnsi="Arial" w:cs="Arial"/>
        </w:rPr>
      </w:pPr>
    </w:p>
    <w:sectPr w:rsidR="00604B2F" w:rsidRPr="00B06620" w:rsidSect="007A6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93"/>
    <w:rsid w:val="00010A51"/>
    <w:rsid w:val="00051DC9"/>
    <w:rsid w:val="000B0AEA"/>
    <w:rsid w:val="00226FB2"/>
    <w:rsid w:val="0027625F"/>
    <w:rsid w:val="002A2CF6"/>
    <w:rsid w:val="00370964"/>
    <w:rsid w:val="0038235B"/>
    <w:rsid w:val="00474B49"/>
    <w:rsid w:val="004A37BC"/>
    <w:rsid w:val="00523D64"/>
    <w:rsid w:val="0056382A"/>
    <w:rsid w:val="00575A8E"/>
    <w:rsid w:val="00580486"/>
    <w:rsid w:val="005C477A"/>
    <w:rsid w:val="005D6193"/>
    <w:rsid w:val="00604B2F"/>
    <w:rsid w:val="00607026"/>
    <w:rsid w:val="00676925"/>
    <w:rsid w:val="006B4AA8"/>
    <w:rsid w:val="00701125"/>
    <w:rsid w:val="007A6192"/>
    <w:rsid w:val="00811F62"/>
    <w:rsid w:val="0089182A"/>
    <w:rsid w:val="008B6176"/>
    <w:rsid w:val="00947C6A"/>
    <w:rsid w:val="00A217E9"/>
    <w:rsid w:val="00A96401"/>
    <w:rsid w:val="00B06620"/>
    <w:rsid w:val="00C41C35"/>
    <w:rsid w:val="00C661C3"/>
    <w:rsid w:val="00C71952"/>
    <w:rsid w:val="00CF3C80"/>
    <w:rsid w:val="00DA2ACB"/>
    <w:rsid w:val="00DC7337"/>
    <w:rsid w:val="00E803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92"/>
  </w:style>
  <w:style w:type="paragraph" w:styleId="Heading2">
    <w:name w:val="heading 2"/>
    <w:basedOn w:val="Normal"/>
    <w:link w:val="Heading2Char"/>
    <w:uiPriority w:val="9"/>
    <w:qFormat/>
    <w:rsid w:val="00051D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1DC9"/>
    <w:rPr>
      <w:rFonts w:ascii="Times New Roman" w:eastAsia="Times New Roman" w:hAnsi="Times New Roman" w:cs="Times New Roman"/>
      <w:b/>
      <w:bCs/>
      <w:sz w:val="36"/>
      <w:szCs w:val="36"/>
    </w:rPr>
  </w:style>
  <w:style w:type="paragraph" w:customStyle="1" w:styleId="inv-head1">
    <w:name w:val="inv-head1"/>
    <w:basedOn w:val="Normal"/>
    <w:rsid w:val="00051D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1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numlist">
    <w:name w:val="inv-numlist"/>
    <w:basedOn w:val="Normal"/>
    <w:rsid w:val="00051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alphalist">
    <w:name w:val="inv-alphalist"/>
    <w:basedOn w:val="Normal"/>
    <w:rsid w:val="00051D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92"/>
  </w:style>
  <w:style w:type="paragraph" w:styleId="Heading2">
    <w:name w:val="heading 2"/>
    <w:basedOn w:val="Normal"/>
    <w:link w:val="Heading2Char"/>
    <w:uiPriority w:val="9"/>
    <w:qFormat/>
    <w:rsid w:val="00051D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1DC9"/>
    <w:rPr>
      <w:rFonts w:ascii="Times New Roman" w:eastAsia="Times New Roman" w:hAnsi="Times New Roman" w:cs="Times New Roman"/>
      <w:b/>
      <w:bCs/>
      <w:sz w:val="36"/>
      <w:szCs w:val="36"/>
    </w:rPr>
  </w:style>
  <w:style w:type="paragraph" w:customStyle="1" w:styleId="inv-head1">
    <w:name w:val="inv-head1"/>
    <w:basedOn w:val="Normal"/>
    <w:rsid w:val="00051D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1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numlist">
    <w:name w:val="inv-numlist"/>
    <w:basedOn w:val="Normal"/>
    <w:rsid w:val="00051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alphalist">
    <w:name w:val="inv-alphalist"/>
    <w:basedOn w:val="Normal"/>
    <w:rsid w:val="00051D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Bhavika Shah</cp:lastModifiedBy>
  <cp:revision>3</cp:revision>
  <dcterms:created xsi:type="dcterms:W3CDTF">2019-06-18T11:05:00Z</dcterms:created>
  <dcterms:modified xsi:type="dcterms:W3CDTF">2019-11-13T11:02:00Z</dcterms:modified>
</cp:coreProperties>
</file>